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insoku/>
        <w:autoSpaceDE/>
        <w:autoSpaceDN/>
        <w:adjustRightInd/>
        <w:snapToGrid/>
        <w:spacing w:line="596" w:lineRule="exact"/>
        <w:ind w:left="2880" w:hanging="2880" w:hangingChars="900"/>
        <w:rPr>
          <w:rFonts w:hint="default" w:ascii="黑体" w:hAnsi="黑体" w:eastAsia="黑体" w:cs="黑体"/>
          <w:b w:val="0"/>
          <w:bCs w:val="0"/>
          <w:i w:val="0"/>
          <w:color w:val="auto"/>
          <w:kern w:val="0"/>
          <w:sz w:val="32"/>
          <w:szCs w:val="32"/>
          <w:highlight w:val="none"/>
          <w:u w:val="none"/>
          <w:lang w:val="en-US" w:eastAsia="zh-CN" w:bidi="ar"/>
        </w:rPr>
      </w:pPr>
      <w:r>
        <w:rPr>
          <w:rFonts w:hint="eastAsia" w:ascii="黑体" w:hAnsi="黑体" w:eastAsia="黑体" w:cs="黑体"/>
          <w:b w:val="0"/>
          <w:bCs w:val="0"/>
          <w:i w:val="0"/>
          <w:color w:val="auto"/>
          <w:kern w:val="0"/>
          <w:sz w:val="32"/>
          <w:szCs w:val="32"/>
          <w:highlight w:val="none"/>
          <w:u w:val="none"/>
          <w:lang w:val="en-US" w:eastAsia="zh-CN" w:bidi="ar"/>
        </w:rPr>
        <w:t>附件3</w:t>
      </w:r>
    </w:p>
    <w:p>
      <w:pPr>
        <w:pStyle w:val="5"/>
        <w:kinsoku/>
        <w:autoSpaceDE/>
        <w:autoSpaceDN/>
        <w:adjustRightInd/>
        <w:snapToGrid/>
        <w:spacing w:line="596" w:lineRule="exact"/>
        <w:ind w:left="0" w:leftChars="0" w:right="0" w:rightChars="0" w:firstLine="0" w:firstLineChars="0"/>
        <w:jc w:val="center"/>
        <w:rPr>
          <w:rFonts w:hint="default" w:ascii="方正小标宋_GBK" w:hAnsi="方正小标宋_GBK" w:eastAsia="方正小标宋_GBK" w:cs="方正小标宋_GBK"/>
          <w:i w:val="0"/>
          <w:color w:val="auto"/>
          <w:kern w:val="0"/>
          <w:sz w:val="40"/>
          <w:szCs w:val="40"/>
          <w:highlight w:val="none"/>
          <w:u w:val="none"/>
          <w:lang w:val="en-US" w:eastAsia="zh-CN" w:bidi="ar"/>
        </w:rPr>
      </w:pPr>
      <w:bookmarkStart w:id="0" w:name="_GoBack"/>
      <w:r>
        <w:rPr>
          <w:rFonts w:hint="eastAsia" w:ascii="方正小标宋_GBK" w:hAnsi="方正小标宋_GBK" w:eastAsia="方正小标宋_GBK" w:cs="方正小标宋_GBK"/>
          <w:i w:val="0"/>
          <w:color w:val="auto"/>
          <w:kern w:val="0"/>
          <w:sz w:val="40"/>
          <w:szCs w:val="40"/>
          <w:highlight w:val="none"/>
          <w:u w:val="none"/>
          <w:lang w:val="en-US" w:eastAsia="zh-CN" w:bidi="ar"/>
        </w:rPr>
        <w:t>2026年</w:t>
      </w:r>
      <w:r>
        <w:rPr>
          <w:rFonts w:hint="default" w:ascii="方正小标宋_GBK" w:hAnsi="方正小标宋_GBK" w:eastAsia="方正小标宋_GBK" w:cs="方正小标宋_GBK"/>
          <w:i w:val="0"/>
          <w:color w:val="auto"/>
          <w:kern w:val="0"/>
          <w:sz w:val="40"/>
          <w:szCs w:val="40"/>
          <w:highlight w:val="none"/>
          <w:u w:val="none"/>
          <w:lang w:val="en-US" w:eastAsia="zh-CN" w:bidi="ar"/>
        </w:rPr>
        <w:t>中央专项彩票公益金支持革命老区乡村振兴项目绩效目标表</w:t>
      </w:r>
    </w:p>
    <w:p>
      <w:pPr>
        <w:pStyle w:val="5"/>
        <w:kinsoku/>
        <w:autoSpaceDE/>
        <w:autoSpaceDN/>
        <w:adjustRightInd/>
        <w:snapToGrid/>
        <w:spacing w:line="596" w:lineRule="exact"/>
        <w:ind w:left="0" w:leftChars="0" w:right="0" w:rightChars="0" w:firstLine="0" w:firstLineChars="0"/>
        <w:jc w:val="center"/>
        <w:rPr>
          <w:rFonts w:hint="default" w:ascii="Times New Roman" w:hAnsi="Times New Roman" w:eastAsia="黑体" w:cs="Times New Roman"/>
          <w:sz w:val="36"/>
          <w:szCs w:val="36"/>
          <w:lang w:eastAsia="zh-CN"/>
        </w:rPr>
      </w:pPr>
      <w:r>
        <w:rPr>
          <w:rFonts w:hint="eastAsia" w:ascii="方正小标宋_GBK" w:hAnsi="方正小标宋_GBK" w:eastAsia="方正小标宋_GBK" w:cs="方正小标宋_GBK"/>
          <w:i w:val="0"/>
          <w:color w:val="auto"/>
          <w:kern w:val="0"/>
          <w:sz w:val="40"/>
          <w:szCs w:val="40"/>
          <w:highlight w:val="none"/>
          <w:u w:val="none"/>
          <w:lang w:val="en-US" w:eastAsia="zh-CN" w:bidi="ar"/>
        </w:rPr>
        <w:t>（揭阳市揭西县）</w:t>
      </w:r>
      <w:r>
        <w:rPr>
          <w:rFonts w:hint="default" w:ascii="Times New Roman" w:hAnsi="Times New Roman" w:eastAsia="黑体" w:cs="Times New Roman"/>
          <w:sz w:val="36"/>
          <w:szCs w:val="36"/>
          <w:lang w:val="en-US" w:eastAsia="zh-CN"/>
        </w:rPr>
        <w:t xml:space="preserve"> </w:t>
      </w:r>
      <w:bookmarkEnd w:id="0"/>
      <w:r>
        <w:rPr>
          <w:rFonts w:hint="default" w:ascii="Times New Roman" w:hAnsi="Times New Roman" w:eastAsia="黑体" w:cs="Times New Roman"/>
          <w:sz w:val="36"/>
          <w:szCs w:val="36"/>
          <w:lang w:val="en-US" w:eastAsia="zh-CN"/>
        </w:rPr>
        <w:t xml:space="preserve">    </w:t>
      </w:r>
    </w:p>
    <w:tbl>
      <w:tblPr>
        <w:tblStyle w:val="3"/>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1272"/>
        <w:gridCol w:w="1491"/>
        <w:gridCol w:w="3195"/>
        <w:gridCol w:w="1783"/>
        <w:gridCol w:w="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blHeader/>
          <w:jc w:val="center"/>
        </w:trPr>
        <w:tc>
          <w:tcPr>
            <w:tcW w:w="1448"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项目名称</w:t>
            </w:r>
          </w:p>
        </w:tc>
        <w:tc>
          <w:tcPr>
            <w:tcW w:w="7757" w:type="dxa"/>
            <w:gridSpan w:val="5"/>
            <w:noWrap w:val="0"/>
            <w:vAlign w:val="center"/>
          </w:tcPr>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val="en-US" w:eastAsia="zh-CN"/>
              </w:rPr>
              <w:t>揭西县“水韵山湖·玉米飘香”农文旅融合发展乡村振兴项目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62" w:hRule="atLeast"/>
          <w:tblHeader/>
          <w:jc w:val="center"/>
        </w:trPr>
        <w:tc>
          <w:tcPr>
            <w:tcW w:w="1448"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省级主管</w:t>
            </w:r>
          </w:p>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部门</w:t>
            </w:r>
          </w:p>
        </w:tc>
        <w:tc>
          <w:tcPr>
            <w:tcW w:w="2763" w:type="dxa"/>
            <w:gridSpan w:val="2"/>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省农业农村厅</w:t>
            </w:r>
          </w:p>
        </w:tc>
        <w:tc>
          <w:tcPr>
            <w:tcW w:w="3195"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实施周期</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2026</w:t>
            </w:r>
            <w:r>
              <w:rPr>
                <w:rFonts w:hint="eastAsia" w:ascii="仿宋_GB2312" w:hAnsi="仿宋_GB2312" w:eastAsia="仿宋_GB2312" w:cs="仿宋_GB2312"/>
                <w:b w:val="0"/>
                <w:bCs w:val="0"/>
                <w:sz w:val="24"/>
                <w:szCs w:val="24"/>
              </w:rPr>
              <w:t>年</w:t>
            </w:r>
            <w:r>
              <w:rPr>
                <w:rFonts w:hint="eastAsia" w:ascii="仿宋_GB2312" w:hAnsi="仿宋_GB2312" w:eastAsia="仿宋_GB2312" w:cs="仿宋_GB2312"/>
                <w:b w:val="0"/>
                <w:bCs w:val="0"/>
                <w:sz w:val="24"/>
                <w:szCs w:val="24"/>
                <w:lang w:eastAsia="zh-CN"/>
              </w:rPr>
              <w:t>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567" w:hRule="atLeast"/>
          <w:tblHeader/>
          <w:jc w:val="center"/>
        </w:trPr>
        <w:tc>
          <w:tcPr>
            <w:tcW w:w="1448" w:type="dxa"/>
            <w:noWrap w:val="0"/>
            <w:vAlign w:val="center"/>
          </w:tcPr>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所在县（市</w:t>
            </w:r>
            <w:r>
              <w:rPr>
                <w:rFonts w:hint="eastAsia" w:ascii="仿宋_GB2312" w:hAnsi="仿宋_GB2312" w:eastAsia="仿宋_GB2312" w:cs="仿宋_GB2312"/>
                <w:b w:val="0"/>
                <w:bCs w:val="0"/>
                <w:snapToGrid/>
                <w:sz w:val="21"/>
                <w:lang w:eastAsia="zh-CN"/>
              </w:rPr>
              <w:t>、</w:t>
            </w:r>
            <w:r>
              <w:rPr>
                <w:rFonts w:hint="eastAsia" w:ascii="仿宋_GB2312" w:hAnsi="仿宋_GB2312" w:eastAsia="仿宋_GB2312" w:cs="仿宋_GB2312"/>
                <w:b w:val="0"/>
                <w:bCs w:val="0"/>
                <w:sz w:val="24"/>
                <w:szCs w:val="24"/>
                <w:lang w:eastAsia="zh-CN"/>
              </w:rPr>
              <w:t>区</w:t>
            </w:r>
            <w:r>
              <w:rPr>
                <w:rFonts w:hint="eastAsia" w:ascii="仿宋_GB2312" w:hAnsi="仿宋_GB2312" w:eastAsia="仿宋_GB2312" w:cs="仿宋_GB2312"/>
                <w:b w:val="0"/>
                <w:bCs w:val="0"/>
                <w:snapToGrid/>
                <w:sz w:val="21"/>
                <w:lang w:eastAsia="zh-CN"/>
              </w:rPr>
              <w:t>、</w:t>
            </w:r>
            <w:r>
              <w:rPr>
                <w:rFonts w:hint="eastAsia" w:ascii="仿宋_GB2312" w:hAnsi="仿宋_GB2312" w:eastAsia="仿宋_GB2312" w:cs="仿宋_GB2312"/>
                <w:b w:val="0"/>
                <w:bCs w:val="0"/>
                <w:sz w:val="24"/>
                <w:szCs w:val="24"/>
                <w:lang w:eastAsia="zh-CN"/>
              </w:rPr>
              <w:t>旗）</w:t>
            </w:r>
          </w:p>
        </w:tc>
        <w:tc>
          <w:tcPr>
            <w:tcW w:w="2763" w:type="dxa"/>
            <w:gridSpan w:val="2"/>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揭阳市揭西县</w:t>
            </w:r>
          </w:p>
        </w:tc>
        <w:tc>
          <w:tcPr>
            <w:tcW w:w="3195" w:type="dxa"/>
            <w:noWrap w:val="0"/>
            <w:vAlign w:val="center"/>
          </w:tcPr>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县级牵头组织实施部门</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揭西县农业</w:t>
            </w:r>
          </w:p>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448"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资金情况</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（万元）</w:t>
            </w:r>
          </w:p>
        </w:tc>
        <w:tc>
          <w:tcPr>
            <w:tcW w:w="5958" w:type="dxa"/>
            <w:gridSpan w:val="3"/>
            <w:noWrap w:val="0"/>
            <w:vAlign w:val="center"/>
          </w:tcPr>
          <w:p>
            <w:pPr>
              <w:spacing w:after="0" w:line="3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中央专项彩票公益金</w:t>
            </w:r>
          </w:p>
        </w:tc>
        <w:tc>
          <w:tcPr>
            <w:tcW w:w="1799" w:type="dxa"/>
            <w:gridSpan w:val="2"/>
            <w:noWrap w:val="0"/>
            <w:vAlign w:val="center"/>
          </w:tcPr>
          <w:p>
            <w:pPr>
              <w:spacing w:after="0" w:line="300" w:lineRule="exact"/>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tblHeader/>
          <w:jc w:val="center"/>
        </w:trPr>
        <w:tc>
          <w:tcPr>
            <w:tcW w:w="1448"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总体</w:t>
            </w:r>
          </w:p>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目标</w:t>
            </w:r>
          </w:p>
        </w:tc>
        <w:tc>
          <w:tcPr>
            <w:tcW w:w="7757" w:type="dxa"/>
            <w:gridSpan w:val="5"/>
            <w:noWrap w:val="0"/>
            <w:vAlign w:val="center"/>
          </w:tcPr>
          <w:p>
            <w:pPr>
              <w:spacing w:after="0" w:line="300" w:lineRule="exact"/>
              <w:ind w:firstLine="480" w:firstLineChars="200"/>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以“产业兴旺、生态宜居、乡风文明、治理有效、生活富裕”为总体目标，按照“用好红色资源、培育特色产业、发挥比较优势、实现规模效益”的规划思路，选择具备较好产业基础、红色资源富集的乡镇，通过实施中央专项彩票公益金支持革命老区乡村振兴项目，实现巩固和拓展脱贫攻坚成果同乡村振兴有效衔接，推动革命老区振兴发展。项目区以金和镇甜玉米产业的规模化示范种植和精深加工产业为中心，打造集种植业和加工业的规模化经营、红色农文旅与生态宜居为一体的乡村振兴项目区，推动揭西县乡村全面振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845" w:hRule="atLeast"/>
          <w:tblHeader/>
          <w:jc w:val="center"/>
        </w:trPr>
        <w:tc>
          <w:tcPr>
            <w:tcW w:w="1448"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绩效目标</w:t>
            </w:r>
          </w:p>
        </w:tc>
        <w:tc>
          <w:tcPr>
            <w:tcW w:w="1272" w:type="dxa"/>
            <w:noWrap w:val="0"/>
            <w:vAlign w:val="center"/>
          </w:tcPr>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一级</w:t>
            </w:r>
          </w:p>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1491"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二级指标</w:t>
            </w:r>
          </w:p>
        </w:tc>
        <w:tc>
          <w:tcPr>
            <w:tcW w:w="3195"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三级指标</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62" w:hRule="atLeast"/>
          <w:tblHeader/>
          <w:jc w:val="center"/>
        </w:trPr>
        <w:tc>
          <w:tcPr>
            <w:tcW w:w="1448" w:type="dxa"/>
            <w:vMerge w:val="restart"/>
            <w:noWrap w:val="0"/>
            <w:textDirection w:val="tbRlV"/>
            <w:vAlign w:val="center"/>
          </w:tcPr>
          <w:p>
            <w:pPr>
              <w:spacing w:after="0" w:line="340" w:lineRule="exact"/>
              <w:ind w:left="113" w:right="113"/>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绩效指标</w:t>
            </w:r>
          </w:p>
        </w:tc>
        <w:tc>
          <w:tcPr>
            <w:tcW w:w="1272"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成本</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1491"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经济成本</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项目预算成本</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rPr>
              <w:t>不超</w:t>
            </w:r>
            <w:r>
              <w:rPr>
                <w:rFonts w:hint="eastAsia" w:ascii="仿宋_GB2312" w:hAnsi="仿宋_GB2312" w:eastAsia="仿宋_GB2312" w:cs="仿宋_GB2312"/>
                <w:b w:val="0"/>
                <w:bCs w:val="0"/>
                <w:sz w:val="24"/>
                <w:szCs w:val="24"/>
                <w:lang w:eastAsia="zh-CN"/>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62"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项目资金执行率</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62"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1491"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社会成本</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对社会发展的负面影响</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62"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对公共福利的负面影响</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62"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1491"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生态环境</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成本指标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对自然生态环境造成的负面影响</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产出</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指标</w:t>
            </w:r>
          </w:p>
        </w:tc>
        <w:tc>
          <w:tcPr>
            <w:tcW w:w="1491"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数量指标</w:t>
            </w:r>
          </w:p>
        </w:tc>
        <w:tc>
          <w:tcPr>
            <w:tcW w:w="3195" w:type="dxa"/>
            <w:noWrap w:val="0"/>
            <w:vAlign w:val="center"/>
          </w:tcPr>
          <w:p>
            <w:pPr>
              <w:spacing w:after="0" w:line="3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甜玉米种植示范基地</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3195" w:type="dxa"/>
            <w:noWrap w:val="0"/>
            <w:vAlign w:val="center"/>
          </w:tcPr>
          <w:p>
            <w:pPr>
              <w:spacing w:after="0" w:line="300" w:lineRule="exact"/>
              <w:rPr>
                <w:rFonts w:hint="eastAsia" w:ascii="仿宋_GB2312" w:hAnsi="仿宋_GB2312" w:eastAsia="仿宋_GB2312" w:cs="仿宋_GB2312"/>
                <w:b w:val="0"/>
                <w:bCs w:val="0"/>
                <w:sz w:val="24"/>
                <w:szCs w:val="24"/>
                <w:lang w:val="en-US"/>
              </w:rPr>
            </w:pPr>
            <w:r>
              <w:rPr>
                <w:rFonts w:hint="eastAsia" w:ascii="仿宋_GB2312" w:hAnsi="仿宋_GB2312" w:eastAsia="仿宋_GB2312" w:cs="仿宋_GB2312"/>
                <w:b w:val="0"/>
                <w:bCs w:val="0"/>
                <w:sz w:val="24"/>
                <w:szCs w:val="24"/>
                <w:lang w:val="en-US" w:eastAsia="zh-CN"/>
              </w:rPr>
              <w:t>甜玉米加工生产线</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val="en-US" w:eastAsia="zh-CN"/>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3195" w:type="dxa"/>
            <w:noWrap w:val="0"/>
            <w:vAlign w:val="center"/>
          </w:tcPr>
          <w:p>
            <w:pPr>
              <w:spacing w:after="0" w:line="3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农耕文化科普体验区</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3195" w:type="dxa"/>
            <w:noWrap w:val="0"/>
            <w:vAlign w:val="center"/>
          </w:tcPr>
          <w:p>
            <w:pPr>
              <w:spacing w:after="0" w:line="3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移动式文创街区</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lang w:val="en-US"/>
              </w:rPr>
            </w:pPr>
            <w:r>
              <w:rPr>
                <w:rFonts w:hint="eastAsia" w:ascii="仿宋_GB2312" w:hAnsi="仿宋_GB2312" w:eastAsia="仿宋_GB2312" w:cs="仿宋_GB2312"/>
                <w:b w:val="0"/>
                <w:bCs w:val="0"/>
                <w:sz w:val="24"/>
                <w:szCs w:val="24"/>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3195" w:type="dxa"/>
            <w:noWrap w:val="0"/>
            <w:vAlign w:val="center"/>
          </w:tcPr>
          <w:p>
            <w:pPr>
              <w:spacing w:after="0" w:line="300" w:lineRule="exac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val="en-US" w:eastAsia="zh-CN"/>
              </w:rPr>
              <w:t>红色教育基地项目提升改造</w:t>
            </w:r>
          </w:p>
        </w:tc>
        <w:tc>
          <w:tcPr>
            <w:tcW w:w="1783" w:type="dxa"/>
            <w:noWrap w:val="0"/>
            <w:vAlign w:val="center"/>
          </w:tcPr>
          <w:p>
            <w:pPr>
              <w:spacing w:after="0" w:line="300" w:lineRule="exact"/>
              <w:jc w:val="center"/>
              <w:rPr>
                <w:rFonts w:hint="eastAsia" w:ascii="仿宋_GB2312" w:hAnsi="仿宋_GB2312" w:eastAsia="仿宋_GB2312" w:cs="仿宋_GB2312"/>
                <w:b w:val="0"/>
                <w:bCs w:val="0"/>
                <w:sz w:val="24"/>
                <w:szCs w:val="24"/>
                <w:lang w:val="en-US"/>
              </w:rPr>
            </w:pPr>
            <w:r>
              <w:rPr>
                <w:rFonts w:hint="eastAsia" w:ascii="仿宋_GB2312" w:hAnsi="仿宋_GB2312" w:eastAsia="仿宋_GB2312" w:cs="仿宋_GB2312"/>
                <w:b w:val="0"/>
                <w:bCs w:val="0"/>
                <w:sz w:val="24"/>
                <w:szCs w:val="24"/>
                <w:lang w:val="en-US" w:eastAsia="zh-CN"/>
              </w:rPr>
              <w:t>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质量指标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项目完成合格率</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时效指标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项目完成及时率</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效益指标</w:t>
            </w:r>
          </w:p>
        </w:tc>
        <w:tc>
          <w:tcPr>
            <w:tcW w:w="1491" w:type="dxa"/>
            <w:vMerge w:val="restart"/>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经济效益</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农民收入增速 </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有所增长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农村人均可支配收入 </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有所增长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vMerge w:val="continue"/>
            <w:noWrap w:val="0"/>
            <w:vAlign w:val="center"/>
          </w:tcPr>
          <w:p>
            <w:pPr>
              <w:spacing w:after="0" w:line="340" w:lineRule="exact"/>
              <w:jc w:val="center"/>
              <w:rPr>
                <w:rFonts w:hint="eastAsia" w:ascii="仿宋_GB2312" w:hAnsi="仿宋_GB2312" w:eastAsia="仿宋_GB2312" w:cs="仿宋_GB2312"/>
                <w:b w:val="0"/>
                <w:bCs w:val="0"/>
                <w:sz w:val="24"/>
                <w:szCs w:val="24"/>
              </w:rPr>
            </w:pP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农村集体经济收入 </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有所增长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社会效益</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带动农村劳动力就业人数</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有所增长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401"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491"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生态效益</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对自然生态环境造成的负面影响　</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无</w:t>
            </w:r>
            <w:r>
              <w:rPr>
                <w:rFonts w:hint="eastAsia" w:ascii="仿宋_GB2312" w:hAnsi="仿宋_GB2312" w:eastAsia="仿宋_GB2312" w:cs="仿宋_GB2312"/>
                <w:b w:val="0"/>
                <w:bCs w:val="0"/>
                <w:sz w:val="24"/>
                <w:szCs w:val="24"/>
                <w:lang w:val="en-US" w:eastAsia="zh-CN"/>
              </w:rPr>
              <w:t>明显</w:t>
            </w:r>
            <w:r>
              <w:rPr>
                <w:rFonts w:hint="eastAsia" w:ascii="仿宋_GB2312" w:hAnsi="仿宋_GB2312" w:eastAsia="仿宋_GB2312" w:cs="仿宋_GB2312"/>
                <w:b w:val="0"/>
                <w:bCs w:val="0"/>
                <w:sz w:val="24"/>
                <w:szCs w:val="24"/>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46" w:hRule="atLeast"/>
          <w:tblHeader/>
          <w:jc w:val="center"/>
        </w:trPr>
        <w:tc>
          <w:tcPr>
            <w:tcW w:w="1448" w:type="dxa"/>
            <w:vMerge w:val="continue"/>
            <w:noWrap w:val="0"/>
            <w:vAlign w:val="center"/>
          </w:tcPr>
          <w:p>
            <w:pPr>
              <w:spacing w:after="0" w:line="340" w:lineRule="exact"/>
              <w:rPr>
                <w:rFonts w:hint="eastAsia" w:ascii="仿宋_GB2312" w:hAnsi="仿宋_GB2312" w:eastAsia="仿宋_GB2312" w:cs="仿宋_GB2312"/>
                <w:b w:val="0"/>
                <w:bCs w:val="0"/>
                <w:sz w:val="24"/>
                <w:szCs w:val="24"/>
              </w:rPr>
            </w:pPr>
          </w:p>
        </w:tc>
        <w:tc>
          <w:tcPr>
            <w:tcW w:w="1272"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满意度</w:t>
            </w:r>
          </w:p>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指标</w:t>
            </w:r>
          </w:p>
        </w:tc>
        <w:tc>
          <w:tcPr>
            <w:tcW w:w="1491" w:type="dxa"/>
            <w:noWrap w:val="0"/>
            <w:vAlign w:val="center"/>
          </w:tcPr>
          <w:p>
            <w:pPr>
              <w:spacing w:after="0" w:line="34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项目实施范围内群众</w:t>
            </w:r>
          </w:p>
          <w:p>
            <w:pPr>
              <w:spacing w:after="0" w:line="34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满意度</w:t>
            </w:r>
          </w:p>
        </w:tc>
        <w:tc>
          <w:tcPr>
            <w:tcW w:w="3195" w:type="dxa"/>
            <w:noWrap w:val="0"/>
            <w:vAlign w:val="center"/>
          </w:tcPr>
          <w:p>
            <w:pPr>
              <w:spacing w:after="0" w:line="34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受益群众满意度</w:t>
            </w:r>
          </w:p>
        </w:tc>
        <w:tc>
          <w:tcPr>
            <w:tcW w:w="1783" w:type="dxa"/>
            <w:noWrap w:val="0"/>
            <w:vAlign w:val="center"/>
          </w:tcPr>
          <w:p>
            <w:pPr>
              <w:spacing w:after="0"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≥9</w:t>
            </w:r>
            <w:r>
              <w:rPr>
                <w:rFonts w:hint="eastAsia" w:ascii="仿宋_GB2312" w:hAnsi="仿宋_GB2312" w:eastAsia="仿宋_GB2312" w:cs="仿宋_GB2312"/>
                <w:b w:val="0"/>
                <w:bCs w:val="0"/>
                <w:sz w:val="24"/>
                <w:szCs w:val="24"/>
                <w:lang w:val="en-US" w:eastAsia="zh-CN"/>
              </w:rPr>
              <w:t>0</w:t>
            </w:r>
            <w:r>
              <w:rPr>
                <w:rFonts w:hint="eastAsia" w:ascii="仿宋_GB2312" w:hAnsi="仿宋_GB2312" w:eastAsia="仿宋_GB2312" w:cs="仿宋_GB2312"/>
                <w:b w:val="0"/>
                <w:bCs w:val="0"/>
                <w:sz w:val="24"/>
                <w:szCs w:val="24"/>
              </w:rPr>
              <w:t>%</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BDE6E03"/>
    <w:rsid w:val="5F6996A9"/>
    <w:rsid w:val="7BEF03C0"/>
    <w:rsid w:val="7DDFEA84"/>
    <w:rsid w:val="7FA77F2B"/>
    <w:rsid w:val="BBFFEA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line="413" w:lineRule="auto"/>
      <w:outlineLvl w:val="2"/>
    </w:pPr>
    <w:rPr>
      <w:rFonts w:ascii="Times New Roman" w:hAnsi="Times New Roman" w:eastAsia="宋体" w:cs="Times New Roman"/>
      <w:sz w:val="21"/>
      <w:szCs w:val="24"/>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customStyle="1" w:styleId="5">
    <w:name w:val="Footer1"/>
    <w:qFormat/>
    <w:uiPriority w:val="0"/>
    <w:pPr>
      <w:widowControl/>
      <w:snapToGrid w:val="0"/>
      <w:jc w:val="left"/>
      <w:textAlignment w:val="baseline"/>
    </w:pPr>
    <w:rPr>
      <w:rFonts w:ascii="Calibri" w:hAnsi="Calibri" w:eastAsia="仿宋_GB2312" w:cs="Times New Roman"/>
      <w:kern w:val="0"/>
      <w:sz w:val="18"/>
      <w:szCs w:val="18"/>
      <w:lang w:val="en-US" w:eastAsia="zh-CN" w:bidi="ar-SA"/>
    </w:rPr>
  </w:style>
  <w:style w:type="character" w:customStyle="1" w:styleId="6">
    <w:name w:val="font21"/>
    <w:basedOn w:val="4"/>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曾书博</cp:lastModifiedBy>
  <dcterms:modified xsi:type="dcterms:W3CDTF">2026-07-08T17:06:54Z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7BC1C7C47C01C62F2E134E6AE486CA4E</vt:lpwstr>
  </property>
</Properties>
</file>