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insoku/>
        <w:autoSpaceDE/>
        <w:autoSpaceDN/>
        <w:adjustRightInd/>
        <w:snapToGrid/>
        <w:spacing w:line="596" w:lineRule="exact"/>
        <w:ind w:left="2880" w:hanging="2880" w:hangingChars="900"/>
        <w:rPr>
          <w:rFonts w:hint="eastAsia" w:ascii="黑体" w:hAnsi="黑体" w:eastAsia="黑体" w:cs="黑体"/>
          <w:b w:val="0"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附件2</w:t>
      </w:r>
    </w:p>
    <w:p>
      <w:pPr>
        <w:pStyle w:val="5"/>
        <w:kinsoku/>
        <w:autoSpaceDE/>
        <w:autoSpaceDN/>
        <w:adjustRightInd/>
        <w:snapToGrid/>
        <w:spacing w:line="596" w:lineRule="exact"/>
        <w:ind w:left="0" w:leftChars="0" w:right="0" w:rightChars="0" w:firstLine="0" w:firstLineChars="0"/>
        <w:jc w:val="center"/>
        <w:rPr>
          <w:rFonts w:hint="default" w:ascii="方正小标宋_GBK" w:hAnsi="方正小标宋_GBK" w:eastAsia="方正小标宋_GBK" w:cs="方正小标宋_GBK"/>
          <w:i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2026年</w:t>
      </w:r>
      <w:r>
        <w:rPr>
          <w:rFonts w:hint="default" w:ascii="方正小标宋_GBK" w:hAnsi="方正小标宋_GBK" w:eastAsia="方正小标宋_GBK" w:cs="方正小标宋_GBK"/>
          <w:i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中央专项彩票公益金支持革命老区乡村振兴项目绩效目标表</w:t>
      </w:r>
    </w:p>
    <w:p>
      <w:pPr>
        <w:pStyle w:val="5"/>
        <w:kinsoku/>
        <w:autoSpaceDE/>
        <w:autoSpaceDN/>
        <w:adjustRightInd/>
        <w:snapToGrid/>
        <w:spacing w:line="596" w:lineRule="exact"/>
        <w:ind w:left="0" w:leftChars="0" w:right="0" w:rightChars="0" w:firstLine="0" w:firstLineChars="0"/>
        <w:jc w:val="center"/>
        <w:rPr>
          <w:rFonts w:hint="default" w:ascii="方正小标宋_GBK" w:hAnsi="方正小标宋_GBK" w:eastAsia="方正小标宋_GBK" w:cs="方正小标宋_GBK"/>
          <w:i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auto"/>
          <w:kern w:val="0"/>
          <w:sz w:val="40"/>
          <w:szCs w:val="40"/>
          <w:highlight w:val="none"/>
          <w:u w:val="none"/>
          <w:lang w:val="en-US" w:eastAsia="zh-CN" w:bidi="ar"/>
        </w:rPr>
        <w:t>（韶关市新丰县）</w:t>
      </w:r>
    </w:p>
    <w:bookmarkEnd w:id="0"/>
    <w:tbl>
      <w:tblPr>
        <w:tblStyle w:val="3"/>
        <w:tblW w:w="9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898"/>
        <w:gridCol w:w="1714"/>
        <w:gridCol w:w="3481"/>
        <w:gridCol w:w="1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6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项目区名称</w:t>
            </w:r>
          </w:p>
        </w:tc>
        <w:tc>
          <w:tcPr>
            <w:tcW w:w="7817" w:type="dxa"/>
            <w:gridSpan w:val="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  <w:t>新丰县“红韵新丰・绿谷禽乡”乡村振兴项目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6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省级主管部门</w:t>
            </w:r>
          </w:p>
        </w:tc>
        <w:tc>
          <w:tcPr>
            <w:tcW w:w="261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省农业农村厅</w:t>
            </w:r>
          </w:p>
        </w:tc>
        <w:tc>
          <w:tcPr>
            <w:tcW w:w="348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实施周期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16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所在县（市、县）</w:t>
            </w:r>
          </w:p>
        </w:tc>
        <w:tc>
          <w:tcPr>
            <w:tcW w:w="261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韶关市新丰县</w:t>
            </w:r>
          </w:p>
        </w:tc>
        <w:tc>
          <w:tcPr>
            <w:tcW w:w="348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县级牵头组织实施部门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新丰县农业农村局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资金情况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61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资金总额：</w:t>
            </w:r>
          </w:p>
        </w:tc>
        <w:tc>
          <w:tcPr>
            <w:tcW w:w="520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14473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1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其中：中央专项彩票公益金</w:t>
            </w:r>
          </w:p>
        </w:tc>
        <w:tc>
          <w:tcPr>
            <w:tcW w:w="520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1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其他财政资金</w:t>
            </w:r>
          </w:p>
        </w:tc>
        <w:tc>
          <w:tcPr>
            <w:tcW w:w="520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2688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12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5205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7785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exact"/>
          <w:jc w:val="center"/>
        </w:trPr>
        <w:tc>
          <w:tcPr>
            <w:tcW w:w="165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总体目标</w:t>
            </w:r>
          </w:p>
        </w:tc>
        <w:tc>
          <w:tcPr>
            <w:tcW w:w="781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锚定省级“百千万工程”示范标杆定位，以“红色基因传承、赋能产业升级、绿美塑形风貌、铸魂长效运营”为核心，紧扣千万羽家禽养殖基地、百业车间、农文旅三大主导产业基础，构建“红色铸魂、绿色兴农、金色富民”的革命老区乡村振兴新模式，推动主导产业能级跨越提升，和美乡村风貌全域焕新，人居环境、绿化美化、公共基础设施等管护机制建立健全，乡村发展内生动力持续增强，惠及项目区农村户籍人口覆盖率80%以上，形成“项目造血－收益反哺－全域共赢”可持续发展范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1656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绩效指标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71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481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71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项目总投资控制率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不超预算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实施过程中引发的信访事件数量（起）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生态保护红线、基本农田违规占用情况（起）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14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数量指标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蛋打造家禽产业园（个)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家禽年出栏(万羽）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家禽年屠宰（万羽）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1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质量指标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验收合格率（%）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效益指标</w:t>
            </w:r>
          </w:p>
        </w:tc>
        <w:tc>
          <w:tcPr>
            <w:tcW w:w="898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质量指标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资金使用合规率（%） 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质量验收合格率（%） 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时效指标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按计划开工率（%）  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资金支付及时率（%）  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中央资金年度支出进度（%） 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竣工验收及时率（%）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14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经济效益指标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家禽产业总产值（亿元）</w:t>
            </w:r>
          </w:p>
        </w:tc>
        <w:tc>
          <w:tcPr>
            <w:tcW w:w="17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中央彩票公益金撬动社会资本投入（万元）</w:t>
            </w:r>
          </w:p>
        </w:tc>
        <w:tc>
          <w:tcPr>
            <w:tcW w:w="17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社会效益指标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带动项目村集体增收总额（万元/年）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/>
              <w:autoSpaceDE/>
              <w:autoSpaceDN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134.22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带动农村劳动力就业岗位（含公益性岗位、临时用工）（人）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带动农户人均增收（万元/年）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项目惠及脱贫人口覆盖率（%）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项目惠及监测对象覆盖率（%）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项目惠及农村户籍人口覆盖率（%）</w:t>
            </w:r>
          </w:p>
        </w:tc>
        <w:tc>
          <w:tcPr>
            <w:tcW w:w="17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生态效益指标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畜禽粪污资源化利用率（%）</w:t>
            </w:r>
          </w:p>
        </w:tc>
        <w:tc>
          <w:tcPr>
            <w:tcW w:w="17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农村生活垃圾收运覆盖率（%）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污水有效治理率（%）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14" w:type="dxa"/>
            <w:vMerge w:val="restar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可持续影响指标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项目形成资产确权比例（%）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14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项目建成后长效管护机制健全率（%）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  <w:jc w:val="center"/>
        </w:trPr>
        <w:tc>
          <w:tcPr>
            <w:tcW w:w="1656" w:type="dxa"/>
            <w:vMerge w:val="continue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满意度指标</w:t>
            </w:r>
          </w:p>
        </w:tc>
        <w:tc>
          <w:tcPr>
            <w:tcW w:w="171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项目实施范围内农民满意度</w:t>
            </w:r>
          </w:p>
        </w:tc>
        <w:tc>
          <w:tcPr>
            <w:tcW w:w="34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项目实施范围内农民满意度（%）</w:t>
            </w:r>
          </w:p>
        </w:tc>
        <w:tc>
          <w:tcPr>
            <w:tcW w:w="172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≥99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5F6996A9"/>
    <w:rsid w:val="7BEF03C0"/>
    <w:rsid w:val="7DDFEA84"/>
    <w:rsid w:val="7FA77F2B"/>
    <w:rsid w:val="BBFFEA46"/>
    <w:rsid w:val="FDB9D6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rFonts w:ascii="Times New Roman" w:hAnsi="Times New Roman" w:eastAsia="宋体" w:cs="Times New Roman"/>
      <w:sz w:val="21"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Footer1"/>
    <w:qFormat/>
    <w:uiPriority w:val="0"/>
    <w:pPr>
      <w:widowControl/>
      <w:snapToGrid w:val="0"/>
      <w:jc w:val="left"/>
      <w:textAlignment w:val="baseline"/>
    </w:pPr>
    <w:rPr>
      <w:rFonts w:ascii="Calibri" w:hAnsi="Calibri" w:eastAsia="仿宋_GB2312" w:cs="Times New Roman"/>
      <w:kern w:val="0"/>
      <w:sz w:val="18"/>
      <w:szCs w:val="18"/>
      <w:lang w:val="en-US" w:eastAsia="zh-CN" w:bidi="ar-SA"/>
    </w:rPr>
  </w:style>
  <w:style w:type="character" w:customStyle="1" w:styleId="6">
    <w:name w:val="font2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Office_11.8.2.12125_F1E327BC-269C-435d-A152-05C5408002CA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曾书博</cp:lastModifiedBy>
  <dcterms:modified xsi:type="dcterms:W3CDTF">2026-07-08T17:06:03Z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2052-11.8.2.12125</vt:lpwstr>
  </property>
  <property fmtid="{D5CDD505-2E9C-101B-9397-08002B2CF9AE}" pid="3" name="ICV">
    <vt:lpwstr>2352DF4AC505CF4BFB124E6AF6DF65A3</vt:lpwstr>
  </property>
</Properties>
</file>